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14/04/2026 14:58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•	Que seja realizada a construção de passeio público na Avenida Vigário João Crisóstomo, até o Bairro São Francisco, tendo em vista que o Município já efetuou melhorias no referido trecho; 
•	
•	Que, nos termos da Lei Municipal nº 2.480/2023, seja concedida isenção da cobrança aos moradores que comprovadamente não possuam condições financeiras para a realização do passeio público, mediante critérios socioeconômicos a serem definidos pela Administração.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16:00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seja estudada a possibilidade de os recursos financeiros remanescentes do Poder Legislativo Municipal, devolvidos ao Poder Executivo ao término do exercício financeiro de 2026, serem destinados à execução de obras de manutenção, conservação, recuperação e melhorias na Igreja Nossa Senhora do Caravaggio do Município de Paim Filho/RS, visando à preservação de importante patrimônio religioso, histórico, cultural e turístico da comunidade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13/10/2026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14/10/2026 09:48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•	Que os valores decorrentes das sobras do duodécimo desta Casa Legislativa do ano em curso seja utilizado para auxiliar na aquisição de um novo mamógrafo para o Hospital São João de Sananduva, 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